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6138" w:type="pct"/>
        <w:jc w:val="center"/>
        <w:tblCellSpacing w:w="0" w:type="dxa"/>
        <w:tblCellMar>
          <w:left w:w="0" w:type="dxa"/>
          <w:right w:w="0" w:type="dxa"/>
        </w:tblCellMar>
        <w:tblLook w:val="04A0" w:firstRow="1" w:lastRow="0" w:firstColumn="1" w:lastColumn="0" w:noHBand="0" w:noVBand="1"/>
      </w:tblPr>
      <w:tblGrid>
        <w:gridCol w:w="11484"/>
      </w:tblGrid>
      <w:tr w:rsidR="000E4860" w:rsidRPr="000E4860" w14:paraId="74B1D96B" w14:textId="77777777" w:rsidTr="000E4860">
        <w:trPr>
          <w:tblCellSpacing w:w="0" w:type="dxa"/>
          <w:jc w:val="center"/>
        </w:trPr>
        <w:tc>
          <w:tcPr>
            <w:tcW w:w="5000" w:type="pct"/>
            <w:vAlign w:val="center"/>
            <w:hideMark/>
          </w:tcPr>
          <w:p w14:paraId="071AB14F"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b/>
                <w:bCs/>
                <w:sz w:val="24"/>
                <w:szCs w:val="24"/>
                <w:lang w:eastAsia="ru-RU"/>
              </w:rPr>
              <w:t>Зарегистрирован в Минюсте РФ 14 ноября 2013 г.</w:t>
            </w:r>
          </w:p>
          <w:p w14:paraId="2610DEF8"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b/>
                <w:bCs/>
                <w:sz w:val="24"/>
                <w:szCs w:val="24"/>
                <w:lang w:eastAsia="ru-RU"/>
              </w:rPr>
              <w:t>Регистрационный N 30384</w:t>
            </w:r>
          </w:p>
          <w:p w14:paraId="220D7901" w14:textId="77777777" w:rsidR="000E4860" w:rsidRPr="000E4860" w:rsidRDefault="000E4860" w:rsidP="000E486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E4860">
              <w:rPr>
                <w:rFonts w:ascii="Times New Roman" w:eastAsia="Times New Roman" w:hAnsi="Times New Roman" w:cs="Times New Roman"/>
                <w:b/>
                <w:bCs/>
                <w:sz w:val="24"/>
                <w:szCs w:val="24"/>
                <w:lang w:eastAsia="ru-RU"/>
              </w:rPr>
              <w:t>Федеральный государственный образовательный стандарт дошкольного образования</w:t>
            </w:r>
          </w:p>
          <w:p w14:paraId="79E7E52A"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b/>
                <w:bCs/>
                <w:sz w:val="24"/>
                <w:szCs w:val="24"/>
                <w:lang w:eastAsia="ru-RU"/>
              </w:rPr>
              <w:t>I. Общие положения</w:t>
            </w:r>
          </w:p>
          <w:p w14:paraId="504F793D"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14:paraId="13EAF21A"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14:paraId="37569A39"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14:paraId="10676130"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14:paraId="6908382A"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1.2. Стандарт разработан на основе Конституции Российской Федерации</w:t>
            </w:r>
            <w:r w:rsidRPr="000E4860">
              <w:rPr>
                <w:rFonts w:ascii="Times New Roman" w:eastAsia="Times New Roman" w:hAnsi="Times New Roman" w:cs="Times New Roman"/>
                <w:sz w:val="24"/>
                <w:szCs w:val="24"/>
                <w:vertAlign w:val="superscript"/>
                <w:lang w:eastAsia="ru-RU"/>
              </w:rPr>
              <w:t>1</w:t>
            </w:r>
            <w:r w:rsidRPr="000E4860">
              <w:rPr>
                <w:rFonts w:ascii="Times New Roman" w:eastAsia="Times New Roman" w:hAnsi="Times New Roman" w:cs="Times New Roman"/>
                <w:sz w:val="24"/>
                <w:szCs w:val="24"/>
                <w:lang w:eastAsia="ru-RU"/>
              </w:rPr>
              <w:t xml:space="preserve"> и законодательства Российской Федерации и с учетом Конвенции ООН о правах ребенка</w:t>
            </w:r>
            <w:r w:rsidRPr="000E4860">
              <w:rPr>
                <w:rFonts w:ascii="Times New Roman" w:eastAsia="Times New Roman" w:hAnsi="Times New Roman" w:cs="Times New Roman"/>
                <w:sz w:val="24"/>
                <w:szCs w:val="24"/>
                <w:vertAlign w:val="superscript"/>
                <w:lang w:eastAsia="ru-RU"/>
              </w:rPr>
              <w:t>2</w:t>
            </w:r>
            <w:r w:rsidRPr="000E4860">
              <w:rPr>
                <w:rFonts w:ascii="Times New Roman" w:eastAsia="Times New Roman" w:hAnsi="Times New Roman" w:cs="Times New Roman"/>
                <w:sz w:val="24"/>
                <w:szCs w:val="24"/>
                <w:lang w:eastAsia="ru-RU"/>
              </w:rPr>
              <w:t>, в основе которых заложены следующие основные принципы:</w:t>
            </w:r>
          </w:p>
          <w:p w14:paraId="7B5F9944"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1D87C92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7D3BC18A"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уважение личности ребенка;</w:t>
            </w:r>
          </w:p>
          <w:p w14:paraId="787CC11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6507A5C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1.3. В Стандарте учитываются:</w:t>
            </w:r>
          </w:p>
          <w:p w14:paraId="716FC63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68132C27"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14:paraId="4291B2CD"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1.4. Основные принципы дошкольного образования:</w:t>
            </w:r>
          </w:p>
          <w:p w14:paraId="6A854C1F"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6C61F73"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49B13E9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14:paraId="2FBC03F3"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 поддержка инициативы детей в различных видах деятельности;</w:t>
            </w:r>
          </w:p>
          <w:p w14:paraId="5AF03ED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5) сотрудничество Организации с семьей;</w:t>
            </w:r>
          </w:p>
          <w:p w14:paraId="4DA8B053"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14:paraId="5B814CA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14:paraId="0A6656BF"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14:paraId="131A9A15"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9) учет этнокультурной ситуации развития детей.</w:t>
            </w:r>
          </w:p>
          <w:p w14:paraId="7E95D00C"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1.5. Стандарт направлен на достижение следующих целей:</w:t>
            </w:r>
          </w:p>
          <w:p w14:paraId="545B53F2"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повышение социального статуса дошкольного образования;</w:t>
            </w:r>
          </w:p>
          <w:p w14:paraId="4EB040D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lastRenderedPageBreak/>
              <w:t>2) обеспечение государством равенства возможностей для каждого ребенка в получении качественного дошкольного образования;</w:t>
            </w:r>
          </w:p>
          <w:p w14:paraId="5AB4F882"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6BAE831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14:paraId="20E810D4"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1.6. Стандарт направлен на решение следующих задач:</w:t>
            </w:r>
          </w:p>
          <w:p w14:paraId="01DA5815"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14:paraId="3071C08C"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16F4871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3DEE573D"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7B95A49C"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36D8F2A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3BE0CB0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39D8A7E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14:paraId="47AE07C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7A6D6CB4"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1.7. Стандарт является основой для:</w:t>
            </w:r>
          </w:p>
          <w:p w14:paraId="52F0288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разработки Программы;</w:t>
            </w:r>
          </w:p>
          <w:p w14:paraId="6250B077"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14:paraId="4C8EC01D"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14:paraId="1B6CEE2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14:paraId="3CFA25CA"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14:paraId="6388905F"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09176C20"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1.8. Стандарт включает в себя требования к:</w:t>
            </w:r>
          </w:p>
          <w:p w14:paraId="629BB26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структуре Программы и ее объему;</w:t>
            </w:r>
          </w:p>
          <w:p w14:paraId="0A18351F"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условиям реализации Программы;</w:t>
            </w:r>
          </w:p>
          <w:p w14:paraId="5DBAAAF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результатам освоения Программы.</w:t>
            </w:r>
          </w:p>
          <w:p w14:paraId="5D3DDB9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14:paraId="291DEE1F"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14:paraId="7C44F2ED"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14:paraId="7C285BDD"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lastRenderedPageBreak/>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14:paraId="3359318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14:paraId="7FCE1F2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218EC2FD"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2.4. Программа направлена на:</w:t>
            </w:r>
          </w:p>
          <w:p w14:paraId="7CDB1BE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7CC97AE0"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14:paraId="587BD231"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0E4860">
              <w:rPr>
                <w:rFonts w:ascii="Times New Roman" w:eastAsia="Times New Roman" w:hAnsi="Times New Roman" w:cs="Times New Roman"/>
                <w:sz w:val="24"/>
                <w:szCs w:val="24"/>
                <w:vertAlign w:val="superscript"/>
                <w:lang w:eastAsia="ru-RU"/>
              </w:rPr>
              <w:t>3</w:t>
            </w:r>
            <w:r w:rsidRPr="000E4860">
              <w:rPr>
                <w:rFonts w:ascii="Times New Roman" w:eastAsia="Times New Roman" w:hAnsi="Times New Roman" w:cs="Times New Roman"/>
                <w:sz w:val="24"/>
                <w:szCs w:val="24"/>
                <w:lang w:eastAsia="ru-RU"/>
              </w:rPr>
              <w:t>.</w:t>
            </w:r>
          </w:p>
          <w:p w14:paraId="213B9485"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14:paraId="05BD6951"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Программа может реализовываться в течение всего времени пребывания</w:t>
            </w:r>
            <w:r w:rsidRPr="000E4860">
              <w:rPr>
                <w:rFonts w:ascii="Times New Roman" w:eastAsia="Times New Roman" w:hAnsi="Times New Roman" w:cs="Times New Roman"/>
                <w:sz w:val="24"/>
                <w:szCs w:val="24"/>
                <w:vertAlign w:val="superscript"/>
                <w:lang w:eastAsia="ru-RU"/>
              </w:rPr>
              <w:t>4</w:t>
            </w:r>
            <w:r w:rsidRPr="000E4860">
              <w:rPr>
                <w:rFonts w:ascii="Times New Roman" w:eastAsia="Times New Roman" w:hAnsi="Times New Roman" w:cs="Times New Roman"/>
                <w:sz w:val="24"/>
                <w:szCs w:val="24"/>
                <w:lang w:eastAsia="ru-RU"/>
              </w:rPr>
              <w:t xml:space="preserve"> детей в Организации.</w:t>
            </w:r>
          </w:p>
          <w:p w14:paraId="4E7E0857"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14:paraId="5412C91F"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социально-коммуникативное развитие;</w:t>
            </w:r>
          </w:p>
          <w:p w14:paraId="6FBA8A1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познавательное развитие; речевое развитие;</w:t>
            </w:r>
          </w:p>
          <w:p w14:paraId="6250A0C5"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художественно-эстетическое развитие;</w:t>
            </w:r>
          </w:p>
          <w:p w14:paraId="4A348EB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физическое развитие.</w:t>
            </w:r>
          </w:p>
          <w:p w14:paraId="5D52F012"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51D0BF3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5044E1FF"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w:t>
            </w:r>
            <w:r w:rsidRPr="000E4860">
              <w:rPr>
                <w:rFonts w:ascii="Times New Roman" w:eastAsia="Times New Roman" w:hAnsi="Times New Roman" w:cs="Times New Roman"/>
                <w:sz w:val="24"/>
                <w:szCs w:val="24"/>
                <w:lang w:eastAsia="ru-RU"/>
              </w:rPr>
              <w:lastRenderedPageBreak/>
              <w:t>литературы; формирование звуковой аналитико-синтетической активности как предпосылки обучения грамоте.</w:t>
            </w:r>
          </w:p>
          <w:p w14:paraId="7D9EC9E0"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4FB39933"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38091910"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14:paraId="501344FE"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14:paraId="0E4A975F"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14:paraId="5E9DDBD8"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14:paraId="6907E07B"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14:paraId="6E3BC7EA"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14:paraId="0671582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характер взаимодействия со взрослыми;</w:t>
            </w:r>
          </w:p>
          <w:p w14:paraId="45501C5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характер взаимодействия с другими детьми;</w:t>
            </w:r>
          </w:p>
          <w:p w14:paraId="2D5C5B0C"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14:paraId="4B1DB79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14:paraId="4E19330F"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14:paraId="37C8B56B"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14:paraId="29E4A416"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14:paraId="4377AE24"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61608639"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14:paraId="4F0A2F2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Пояснительная записка должна раскрывать:</w:t>
            </w:r>
          </w:p>
          <w:p w14:paraId="54C0652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цели и задачи реализации Программы;</w:t>
            </w:r>
          </w:p>
          <w:p w14:paraId="73F47B07"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принципы и подходы к формированию Программы;</w:t>
            </w:r>
          </w:p>
          <w:p w14:paraId="0520A5CC"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5085261A"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14:paraId="1F13869E"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14:paraId="4B2026B3"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Содержательный раздел Программы должен включать:</w:t>
            </w:r>
          </w:p>
          <w:p w14:paraId="2B798FEC"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14:paraId="719323FA"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34D82675"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14:paraId="63481B10"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 содержательном разделе Программы должны быть представлены:</w:t>
            </w:r>
          </w:p>
          <w:p w14:paraId="6043165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14:paraId="08BE010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б) способы и направления поддержки детской инициативы;</w:t>
            </w:r>
          </w:p>
          <w:p w14:paraId="7C39F3B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14:paraId="564841BF"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14:paraId="2D0F1D1F"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14:paraId="37DCF4D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14:paraId="32A9E05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14:paraId="3A10CD63"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14:paraId="31A43000"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lastRenderedPageBreak/>
              <w:t>сложившиеся традиции Организации или Группы.</w:t>
            </w:r>
          </w:p>
          <w:p w14:paraId="02D22C1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14:paraId="53F2621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14:paraId="14AB0B18"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Коррекционная работа и/или инклюзивное образование должны быть направлены на:</w:t>
            </w:r>
          </w:p>
          <w:p w14:paraId="00D55B4F"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14:paraId="141C9309"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27416FA1"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14:paraId="14642AAD"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14:paraId="61C5ED00"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14:paraId="0121F966"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14:paraId="0F697881"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14:paraId="5C40940D"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14:paraId="347C9BFD"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 краткой презентации Программы должны быть указаны:</w:t>
            </w:r>
          </w:p>
          <w:p w14:paraId="2B79123A"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14:paraId="5EBD0253"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используемые Примерные программы;</w:t>
            </w:r>
          </w:p>
          <w:p w14:paraId="140F2064"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14:paraId="235A67EF"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b/>
                <w:bCs/>
                <w:sz w:val="24"/>
                <w:szCs w:val="24"/>
                <w:lang w:eastAsia="ru-RU"/>
              </w:rPr>
              <w:lastRenderedPageBreak/>
              <w:t>III. Требования к условиям реализации основной образовательной программы дошкольного образования</w:t>
            </w:r>
          </w:p>
          <w:p w14:paraId="5E51F9DD"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14:paraId="09EB7C6A"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2A109BE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14:paraId="5A3A3CB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14:paraId="0737469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обеспечивает эмоциональное благополучие детей;</w:t>
            </w:r>
          </w:p>
          <w:p w14:paraId="6E9BE51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14:paraId="6DB0CC8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14:paraId="32A3D00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5) обеспечивает открытость дошкольного образования;</w:t>
            </w:r>
          </w:p>
          <w:p w14:paraId="51708D2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14:paraId="65E437F5"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14:paraId="7F439894"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14:paraId="5F415927"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690622E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2B74F94A"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418C66C5"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424F7A12"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14:paraId="7E0ACA9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14:paraId="7F0B230C"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7) защита детей от всех форм физического и психического насилия</w:t>
            </w:r>
            <w:r w:rsidRPr="000E4860">
              <w:rPr>
                <w:rFonts w:ascii="Times New Roman" w:eastAsia="Times New Roman" w:hAnsi="Times New Roman" w:cs="Times New Roman"/>
                <w:sz w:val="24"/>
                <w:szCs w:val="24"/>
                <w:vertAlign w:val="superscript"/>
                <w:lang w:eastAsia="ru-RU"/>
              </w:rPr>
              <w:t>5</w:t>
            </w:r>
            <w:r w:rsidRPr="000E4860">
              <w:rPr>
                <w:rFonts w:ascii="Times New Roman" w:eastAsia="Times New Roman" w:hAnsi="Times New Roman" w:cs="Times New Roman"/>
                <w:sz w:val="24"/>
                <w:szCs w:val="24"/>
                <w:lang w:eastAsia="ru-RU"/>
              </w:rPr>
              <w:t>;</w:t>
            </w:r>
          </w:p>
          <w:p w14:paraId="694C910C"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396565C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14:paraId="01FE7D21"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1B131BC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14:paraId="471E65E2"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74377AD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lastRenderedPageBreak/>
              <w:t>2) оптимизации работы с группой детей.</w:t>
            </w:r>
          </w:p>
          <w:p w14:paraId="0F70B85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14:paraId="725BBB0A"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14:paraId="442350A4"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19D96D8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14:paraId="454BDEF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14:paraId="0AB55412"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обеспечение эмоционального благополучия через:</w:t>
            </w:r>
          </w:p>
          <w:p w14:paraId="6966DBB4"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непосредственное общение с каждым ребенком;</w:t>
            </w:r>
          </w:p>
          <w:p w14:paraId="2A0765D4"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14:paraId="78DA3CE5"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поддержку индивидуальности и инициативы детей через:</w:t>
            </w:r>
          </w:p>
          <w:p w14:paraId="675F16F3"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14:paraId="4600488F"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14:paraId="13EC7F74"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72E22F0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установление правил взаимодействия в разных ситуациях:</w:t>
            </w:r>
          </w:p>
          <w:p w14:paraId="6A32E79F"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3DECB513"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14:paraId="3CEB6C7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развитие умения детей работать в группе сверстников;</w:t>
            </w:r>
          </w:p>
          <w:p w14:paraId="2EAD3E3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473993A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14:paraId="06E28AA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3BEDA40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14:paraId="26BA49F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оценку индивидуального развития детей;</w:t>
            </w:r>
          </w:p>
          <w:p w14:paraId="53B4E6D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5E07C873"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3.2.6. В целях эффективной реализации Программы должны быть созданы условия для:</w:t>
            </w:r>
          </w:p>
          <w:p w14:paraId="6BA1CC8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14:paraId="39302E5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14:paraId="086E6440"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14:paraId="0E0897E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14:paraId="7AB88302"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14:paraId="1386DAD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3.2.8. Организация должна создавать возможности:</w:t>
            </w:r>
          </w:p>
          <w:p w14:paraId="378722EF"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14:paraId="5653EBB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lastRenderedPageBreak/>
              <w:t>2) для взрослых по поиску, использованию материалов, обеспечивающих реализацию Программы, в том числе в информационной среде;</w:t>
            </w:r>
          </w:p>
          <w:p w14:paraId="6C868A7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14:paraId="007BFAC4"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14:paraId="2F4FCF67"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3.3.Требования к развивающей предметно-пространственной среде.</w:t>
            </w:r>
          </w:p>
          <w:p w14:paraId="23D45D9D"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2518220C"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29DEE590"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14:paraId="6719942C"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реализацию различных образовательных программ;</w:t>
            </w:r>
          </w:p>
          <w:p w14:paraId="5B564FC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14:paraId="193FB47A"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3BFB79B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39797A0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14:paraId="044B7E3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5F35E0BD"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14:paraId="30FBADE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424BE27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14:paraId="743CD89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14:paraId="5D4EB48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возможность самовыражения детей.</w:t>
            </w:r>
          </w:p>
          <w:p w14:paraId="2F70B9EC"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1299578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1FBF596B"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Полифункциональность материалов предполагает:</w:t>
            </w:r>
          </w:p>
          <w:p w14:paraId="0AD61805"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5264297E"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6798B105"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 Вариативность среды предполагает:</w:t>
            </w:r>
          </w:p>
          <w:p w14:paraId="67CBFC62"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179E2734"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2952A313"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5) Доступность среды предполагает:</w:t>
            </w:r>
          </w:p>
          <w:p w14:paraId="6246D7AF"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52CD2EDD"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248BA96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исправность и сохранность материалов и оборудования.</w:t>
            </w:r>
          </w:p>
          <w:p w14:paraId="1CEEBB72"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0D99D4E4"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6188E573"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3.4. Требования к кадровым условиям реализации Программы.</w:t>
            </w:r>
          </w:p>
          <w:p w14:paraId="5BD75693"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14:paraId="6F213185"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14:paraId="6775BFA3"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14:paraId="2B45C807"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14:paraId="2F177907"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14:paraId="328ADC22"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14:paraId="142BCEFC"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3.4.4. При организации инклюзивного образования:</w:t>
            </w:r>
          </w:p>
          <w:p w14:paraId="6FB049B9"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 xml:space="preserve">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w:t>
            </w:r>
            <w:r w:rsidRPr="000E4860">
              <w:rPr>
                <w:rFonts w:ascii="Times New Roman" w:eastAsia="Times New Roman" w:hAnsi="Times New Roman" w:cs="Times New Roman"/>
                <w:sz w:val="24"/>
                <w:szCs w:val="24"/>
                <w:lang w:eastAsia="ru-RU"/>
              </w:rPr>
              <w:lastRenderedPageBreak/>
              <w:t>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14:paraId="5909368A"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0E4860">
              <w:rPr>
                <w:rFonts w:ascii="Times New Roman" w:eastAsia="Times New Roman" w:hAnsi="Times New Roman" w:cs="Times New Roman"/>
                <w:sz w:val="24"/>
                <w:szCs w:val="24"/>
                <w:vertAlign w:val="superscript"/>
                <w:lang w:eastAsia="ru-RU"/>
              </w:rPr>
              <w:t>6</w:t>
            </w:r>
            <w:r w:rsidRPr="000E4860">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14:paraId="517E418B"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14:paraId="73A5638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14:paraId="2AE86A25"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14:paraId="313CCC2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14:paraId="0470F5A6"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14:paraId="7C8C8FF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14:paraId="377C969B"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14:paraId="41AA8D0D"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14:paraId="46F21645"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14:paraId="504D3A25"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3.6.2. Финансовые условия реализации Программы должны:</w:t>
            </w:r>
          </w:p>
          <w:p w14:paraId="3DBC788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14:paraId="0269B4A2"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14:paraId="2C43648C"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14:paraId="30752375"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14:paraId="18DE0CC2"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расходов на оплату труда работников, реализующих Программу;</w:t>
            </w:r>
          </w:p>
          <w:p w14:paraId="199C2C5F"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w:t>
            </w:r>
            <w:r w:rsidRPr="000E4860">
              <w:rPr>
                <w:rFonts w:ascii="Times New Roman" w:eastAsia="Times New Roman" w:hAnsi="Times New Roman" w:cs="Times New Roman"/>
                <w:sz w:val="24"/>
                <w:szCs w:val="24"/>
                <w:lang w:eastAsia="ru-RU"/>
              </w:rPr>
              <w:lastRenderedPageBreak/>
              <w:t>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14:paraId="175EED57"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14:paraId="2FC3D841"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14:paraId="074C118E"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14:paraId="0C4A2332"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1334E7E5"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14:paraId="6FB0EE8A"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0E4860">
              <w:rPr>
                <w:rFonts w:ascii="Times New Roman" w:eastAsia="Times New Roman" w:hAnsi="Times New Roman" w:cs="Times New Roman"/>
                <w:sz w:val="24"/>
                <w:szCs w:val="24"/>
                <w:vertAlign w:val="superscript"/>
                <w:lang w:eastAsia="ru-RU"/>
              </w:rPr>
              <w:t>7</w:t>
            </w:r>
            <w:r w:rsidRPr="000E4860">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0E4860">
              <w:rPr>
                <w:rFonts w:ascii="Times New Roman" w:eastAsia="Times New Roman" w:hAnsi="Times New Roman" w:cs="Times New Roman"/>
                <w:sz w:val="24"/>
                <w:szCs w:val="24"/>
                <w:vertAlign w:val="superscript"/>
                <w:lang w:eastAsia="ru-RU"/>
              </w:rPr>
              <w:t>8</w:t>
            </w:r>
            <w:r w:rsidRPr="000E4860">
              <w:rPr>
                <w:rFonts w:ascii="Times New Roman" w:eastAsia="Times New Roman" w:hAnsi="Times New Roman" w:cs="Times New Roman"/>
                <w:sz w:val="24"/>
                <w:szCs w:val="24"/>
                <w:lang w:eastAsia="ru-RU"/>
              </w:rPr>
              <w:t>.</w:t>
            </w:r>
          </w:p>
          <w:p w14:paraId="71BC26BB"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4.4. Настоящие требования являются ориентирами для:</w:t>
            </w:r>
          </w:p>
          <w:p w14:paraId="5A26C4D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14:paraId="1C5AAED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б) решения задач:</w:t>
            </w:r>
          </w:p>
          <w:p w14:paraId="5DF27187"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формирования Программы;</w:t>
            </w:r>
          </w:p>
          <w:p w14:paraId="38FA38D0"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анализа профессиональной деятельности;</w:t>
            </w:r>
          </w:p>
          <w:p w14:paraId="72624532"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взаимодействия с семьями;</w:t>
            </w:r>
          </w:p>
          <w:p w14:paraId="3F0593DD"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14:paraId="54065322"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14:paraId="11B034F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14:paraId="2FEDAE7E"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аттестацию педагогических кадров;</w:t>
            </w:r>
          </w:p>
          <w:p w14:paraId="4C4BF6C8"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оценку качества образования;</w:t>
            </w:r>
          </w:p>
          <w:p w14:paraId="19473CC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5CF3B49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14:paraId="0C6439A9"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распределение стимулирующего фонда оплаты труда работников Организации.</w:t>
            </w:r>
          </w:p>
          <w:p w14:paraId="7C04C755"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lastRenderedPageBreak/>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14:paraId="5E5FF7E5"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14:paraId="22B5FB50"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3A76EDDA"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14:paraId="7F8F8A1A"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14:paraId="40B1F358"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14:paraId="05D14007"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14:paraId="479203D7"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47AA2AE4"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14:paraId="663C5A39"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Целевые ориентиры на этапе завершения дошкольного образования:</w:t>
            </w:r>
          </w:p>
          <w:p w14:paraId="345E1E0A"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19B33D9A"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0C4EF9DE"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4CD4609C"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0A8B2BE6"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181FC743"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162C0B5E"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w:t>
            </w:r>
            <w:r w:rsidRPr="000E4860">
              <w:rPr>
                <w:rFonts w:ascii="Times New Roman" w:eastAsia="Times New Roman" w:hAnsi="Times New Roman" w:cs="Times New Roman"/>
                <w:sz w:val="24"/>
                <w:szCs w:val="24"/>
                <w:lang w:eastAsia="ru-RU"/>
              </w:rPr>
              <w:lastRenderedPageBreak/>
              <w:t>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32BCC734"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0F32D642"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14:paraId="2C525694"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i/>
                <w:iCs/>
                <w:sz w:val="24"/>
                <w:szCs w:val="24"/>
                <w:vertAlign w:val="superscript"/>
                <w:lang w:eastAsia="ru-RU"/>
              </w:rPr>
              <w:t>1</w:t>
            </w:r>
            <w:r w:rsidRPr="000E4860">
              <w:rPr>
                <w:rFonts w:ascii="Times New Roman" w:eastAsia="Times New Roman" w:hAnsi="Times New Roman" w:cs="Times New Roman"/>
                <w:i/>
                <w:iCs/>
                <w:sz w:val="24"/>
                <w:szCs w:val="24"/>
                <w:lang w:eastAsia="ru-RU"/>
              </w:rPr>
              <w:t xml:space="preserve"> Российская газета, 25 декабря 1993 г.; Собрание законодательства Российской Федерации, 2009, N 1, ст. 1, ст. 2.</w:t>
            </w:r>
          </w:p>
          <w:p w14:paraId="6DD032DF"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i/>
                <w:iCs/>
                <w:sz w:val="24"/>
                <w:szCs w:val="24"/>
                <w:vertAlign w:val="superscript"/>
                <w:lang w:eastAsia="ru-RU"/>
              </w:rPr>
              <w:t>2</w:t>
            </w:r>
            <w:r w:rsidRPr="000E4860">
              <w:rPr>
                <w:rFonts w:ascii="Times New Roman" w:eastAsia="Times New Roman" w:hAnsi="Times New Roman" w:cs="Times New Roman"/>
                <w:i/>
                <w:iCs/>
                <w:sz w:val="24"/>
                <w:szCs w:val="24"/>
                <w:lang w:eastAsia="ru-RU"/>
              </w:rPr>
              <w:t xml:space="preserve"> Сборник международных договоров СССР, 1993, выпуск XLVI.</w:t>
            </w:r>
          </w:p>
          <w:p w14:paraId="673C7D4F"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i/>
                <w:iCs/>
                <w:sz w:val="24"/>
                <w:szCs w:val="24"/>
                <w:vertAlign w:val="superscript"/>
                <w:lang w:eastAsia="ru-RU"/>
              </w:rPr>
              <w:t>3</w:t>
            </w:r>
            <w:r w:rsidRPr="000E4860">
              <w:rPr>
                <w:rFonts w:ascii="Times New Roman" w:eastAsia="Times New Roman" w:hAnsi="Times New Roman" w:cs="Times New Roman"/>
                <w:i/>
                <w:iCs/>
                <w:sz w:val="24"/>
                <w:szCs w:val="24"/>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16A039E9"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i/>
                <w:iCs/>
                <w:sz w:val="24"/>
                <w:szCs w:val="24"/>
                <w:vertAlign w:val="superscript"/>
                <w:lang w:eastAsia="ru-RU"/>
              </w:rPr>
              <w:t>4</w:t>
            </w:r>
            <w:r w:rsidRPr="000E4860">
              <w:rPr>
                <w:rFonts w:ascii="Times New Roman" w:eastAsia="Times New Roman" w:hAnsi="Times New Roman" w:cs="Times New Roman"/>
                <w:i/>
                <w:iCs/>
                <w:sz w:val="24"/>
                <w:szCs w:val="24"/>
                <w:lang w:eastAsia="ru-RU"/>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14:paraId="1BDA5CF0"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i/>
                <w:iCs/>
                <w:sz w:val="24"/>
                <w:szCs w:val="24"/>
                <w:vertAlign w:val="superscript"/>
                <w:lang w:eastAsia="ru-RU"/>
              </w:rPr>
              <w:t>5</w:t>
            </w:r>
            <w:r w:rsidRPr="000E4860">
              <w:rPr>
                <w:rFonts w:ascii="Times New Roman" w:eastAsia="Times New Roman" w:hAnsi="Times New Roman" w:cs="Times New Roman"/>
                <w:i/>
                <w:iCs/>
                <w:sz w:val="24"/>
                <w:szCs w:val="24"/>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14:paraId="232C2CFE"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i/>
                <w:iCs/>
                <w:sz w:val="24"/>
                <w:szCs w:val="24"/>
                <w:vertAlign w:val="superscript"/>
                <w:lang w:eastAsia="ru-RU"/>
              </w:rPr>
              <w:t>6</w:t>
            </w:r>
            <w:r w:rsidRPr="000E4860">
              <w:rPr>
                <w:rFonts w:ascii="Times New Roman" w:eastAsia="Times New Roman" w:hAnsi="Times New Roman" w:cs="Times New Roman"/>
                <w:i/>
                <w:iCs/>
                <w:sz w:val="24"/>
                <w:szCs w:val="24"/>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14:paraId="70C6E2E3"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i/>
                <w:iCs/>
                <w:sz w:val="24"/>
                <w:szCs w:val="24"/>
                <w:vertAlign w:val="superscript"/>
                <w:lang w:eastAsia="ru-RU"/>
              </w:rPr>
              <w:t>7</w:t>
            </w:r>
            <w:r w:rsidRPr="000E4860">
              <w:rPr>
                <w:rFonts w:ascii="Times New Roman" w:eastAsia="Times New Roman" w:hAnsi="Times New Roman" w:cs="Times New Roman"/>
                <w:i/>
                <w:iCs/>
                <w:sz w:val="24"/>
                <w:szCs w:val="24"/>
                <w:lang w:eastAsia="ru-RU"/>
              </w:rPr>
              <w:t xml:space="preserve">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18FB1DC5" w14:textId="77777777" w:rsidR="000E4860" w:rsidRPr="000E4860" w:rsidRDefault="000E4860" w:rsidP="000E4860">
            <w:pPr>
              <w:spacing w:before="100" w:beforeAutospacing="1" w:after="100" w:afterAutospacing="1"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i/>
                <w:iCs/>
                <w:sz w:val="24"/>
                <w:szCs w:val="24"/>
                <w:vertAlign w:val="superscript"/>
                <w:lang w:eastAsia="ru-RU"/>
              </w:rPr>
              <w:t>8</w:t>
            </w:r>
            <w:r w:rsidRPr="000E4860">
              <w:rPr>
                <w:rFonts w:ascii="Times New Roman" w:eastAsia="Times New Roman" w:hAnsi="Times New Roman" w:cs="Times New Roman"/>
                <w:i/>
                <w:iCs/>
                <w:sz w:val="24"/>
                <w:szCs w:val="24"/>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tc>
      </w:tr>
      <w:tr w:rsidR="000E4860" w:rsidRPr="000E4860" w14:paraId="75571CD1" w14:textId="77777777" w:rsidTr="000E4860">
        <w:trPr>
          <w:tblCellSpacing w:w="0" w:type="dxa"/>
          <w:jc w:val="center"/>
        </w:trPr>
        <w:tc>
          <w:tcPr>
            <w:tcW w:w="5000" w:type="pct"/>
            <w:vAlign w:val="center"/>
            <w:hideMark/>
          </w:tcPr>
          <w:p w14:paraId="65EEC951" w14:textId="77777777" w:rsidR="000E4860" w:rsidRPr="000E4860" w:rsidRDefault="000E4860" w:rsidP="000E4860">
            <w:pPr>
              <w:spacing w:after="0" w:line="240" w:lineRule="auto"/>
              <w:rPr>
                <w:rFonts w:ascii="Times New Roman" w:eastAsia="Times New Roman" w:hAnsi="Times New Roman" w:cs="Times New Roman"/>
                <w:sz w:val="24"/>
                <w:szCs w:val="24"/>
                <w:lang w:eastAsia="ru-RU"/>
              </w:rPr>
            </w:pPr>
            <w:r w:rsidRPr="000E4860">
              <w:rPr>
                <w:rFonts w:ascii="Times New Roman" w:eastAsia="Times New Roman" w:hAnsi="Times New Roman" w:cs="Times New Roman"/>
                <w:sz w:val="24"/>
                <w:szCs w:val="24"/>
                <w:lang w:eastAsia="ru-RU"/>
              </w:rPr>
              <w:lastRenderedPageBreak/>
              <w:pict w14:anchorId="6F9375CA">
                <v:rect id="_x0000_i1093" style="width:0;height:.75pt" o:hralign="center" o:hrstd="t" o:hrnoshade="t" o:hr="t" fillcolor="#a7a6aa" stroked="f"/>
              </w:pict>
            </w:r>
          </w:p>
          <w:p w14:paraId="14AE148D" w14:textId="77777777" w:rsidR="000E4860" w:rsidRPr="000E4860" w:rsidRDefault="000E4860" w:rsidP="000E4860">
            <w:pPr>
              <w:spacing w:after="240" w:line="240" w:lineRule="auto"/>
              <w:rPr>
                <w:rFonts w:ascii="Times New Roman" w:eastAsia="Times New Roman" w:hAnsi="Times New Roman" w:cs="Times New Roman"/>
                <w:sz w:val="24"/>
                <w:szCs w:val="24"/>
                <w:lang w:eastAsia="ru-RU"/>
              </w:rPr>
            </w:pPr>
          </w:p>
        </w:tc>
      </w:tr>
      <w:tr w:rsidR="000E4860" w:rsidRPr="000E4860" w14:paraId="6220D87A" w14:textId="77777777" w:rsidTr="000E4860">
        <w:trPr>
          <w:trHeight w:val="75"/>
          <w:tblCellSpacing w:w="0" w:type="dxa"/>
          <w:jc w:val="center"/>
        </w:trPr>
        <w:tc>
          <w:tcPr>
            <w:tcW w:w="5000" w:type="pct"/>
            <w:shd w:val="clear" w:color="auto" w:fill="000000"/>
            <w:vAlign w:val="center"/>
            <w:hideMark/>
          </w:tcPr>
          <w:p w14:paraId="29F97597" w14:textId="77777777" w:rsidR="000E4860" w:rsidRPr="000E4860" w:rsidRDefault="000E4860" w:rsidP="000E4860">
            <w:pPr>
              <w:spacing w:after="0" w:line="75" w:lineRule="atLeast"/>
              <w:rPr>
                <w:rFonts w:ascii="Times New Roman" w:eastAsia="Times New Roman" w:hAnsi="Times New Roman" w:cs="Times New Roman"/>
                <w:sz w:val="24"/>
                <w:szCs w:val="24"/>
                <w:lang w:eastAsia="ru-RU"/>
              </w:rPr>
            </w:pPr>
            <w:r w:rsidRPr="000E4860">
              <w:rPr>
                <w:rFonts w:ascii="Times New Roman" w:eastAsia="Times New Roman" w:hAnsi="Times New Roman" w:cs="Times New Roman"/>
                <w:noProof/>
                <w:sz w:val="24"/>
                <w:szCs w:val="24"/>
                <w:lang w:eastAsia="ru-RU"/>
              </w:rPr>
              <w:drawing>
                <wp:inline distT="0" distB="0" distL="0" distR="0" wp14:anchorId="567B0197" wp14:editId="47F8DAC4">
                  <wp:extent cx="8890" cy="8890"/>
                  <wp:effectExtent l="0" t="0" r="0" b="0"/>
                  <wp:docPr id="3" name="Рисунок 3" descr="http://www.rg.ru/img/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g.ru/img/dot.gif"/>
                          <pic:cNvPicPr>
                            <a:picLocks noChangeAspect="1" noChangeArrowheads="1"/>
                          </pic:cNvPicPr>
                        </pic:nvPicPr>
                        <pic:blipFill>
                          <a:blip r:embed="rId4"/>
                          <a:srcRect/>
                          <a:stretch>
                            <a:fillRect/>
                          </a:stretch>
                        </pic:blipFill>
                        <pic:spPr bwMode="auto">
                          <a:xfrm>
                            <a:off x="0" y="0"/>
                            <a:ext cx="8890" cy="8890"/>
                          </a:xfrm>
                          <a:prstGeom prst="rect">
                            <a:avLst/>
                          </a:prstGeom>
                          <a:noFill/>
                          <a:ln w="9525">
                            <a:noFill/>
                            <a:miter lim="800000"/>
                            <a:headEnd/>
                            <a:tailEnd/>
                          </a:ln>
                        </pic:spPr>
                      </pic:pic>
                    </a:graphicData>
                  </a:graphic>
                </wp:inline>
              </w:drawing>
            </w:r>
          </w:p>
        </w:tc>
      </w:tr>
      <w:tr w:rsidR="000E4860" w:rsidRPr="000E4860" w14:paraId="0A142D06" w14:textId="77777777" w:rsidTr="000E4860">
        <w:trPr>
          <w:trHeight w:val="15"/>
          <w:tblCellSpacing w:w="0" w:type="dxa"/>
          <w:jc w:val="center"/>
        </w:trPr>
        <w:tc>
          <w:tcPr>
            <w:tcW w:w="5000" w:type="pct"/>
            <w:vAlign w:val="center"/>
            <w:hideMark/>
          </w:tcPr>
          <w:p w14:paraId="211DAA1F" w14:textId="77777777" w:rsidR="000E4860" w:rsidRPr="000E4860" w:rsidRDefault="000E4860" w:rsidP="000E4860">
            <w:pPr>
              <w:spacing w:after="0" w:line="15" w:lineRule="atLeast"/>
              <w:rPr>
                <w:rFonts w:ascii="Times New Roman" w:eastAsia="Times New Roman" w:hAnsi="Times New Roman" w:cs="Times New Roman"/>
                <w:sz w:val="24"/>
                <w:szCs w:val="24"/>
                <w:lang w:eastAsia="ru-RU"/>
              </w:rPr>
            </w:pPr>
            <w:r w:rsidRPr="000E4860">
              <w:rPr>
                <w:rFonts w:ascii="Times New Roman" w:eastAsia="Times New Roman" w:hAnsi="Times New Roman" w:cs="Times New Roman"/>
                <w:noProof/>
                <w:sz w:val="24"/>
                <w:szCs w:val="24"/>
                <w:lang w:eastAsia="ru-RU"/>
              </w:rPr>
              <w:drawing>
                <wp:inline distT="0" distB="0" distL="0" distR="0" wp14:anchorId="30ED7409" wp14:editId="20894727">
                  <wp:extent cx="8890" cy="8890"/>
                  <wp:effectExtent l="0" t="0" r="0" b="0"/>
                  <wp:docPr id="4" name="Рисунок 4" descr="http://www.rg.ru/img/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g.ru/img/dot.gif"/>
                          <pic:cNvPicPr>
                            <a:picLocks noChangeAspect="1" noChangeArrowheads="1"/>
                          </pic:cNvPicPr>
                        </pic:nvPicPr>
                        <pic:blipFill>
                          <a:blip r:embed="rId4"/>
                          <a:srcRect/>
                          <a:stretch>
                            <a:fillRect/>
                          </a:stretch>
                        </pic:blipFill>
                        <pic:spPr bwMode="auto">
                          <a:xfrm>
                            <a:off x="0" y="0"/>
                            <a:ext cx="8890" cy="8890"/>
                          </a:xfrm>
                          <a:prstGeom prst="rect">
                            <a:avLst/>
                          </a:prstGeom>
                          <a:noFill/>
                          <a:ln w="9525">
                            <a:noFill/>
                            <a:miter lim="800000"/>
                            <a:headEnd/>
                            <a:tailEnd/>
                          </a:ln>
                        </pic:spPr>
                      </pic:pic>
                    </a:graphicData>
                  </a:graphic>
                </wp:inline>
              </w:drawing>
            </w:r>
          </w:p>
        </w:tc>
      </w:tr>
    </w:tbl>
    <w:p w14:paraId="430FF6C7" w14:textId="77777777" w:rsidR="000E4860" w:rsidRPr="000E4860" w:rsidRDefault="000E4860" w:rsidP="000E4860">
      <w:pPr>
        <w:spacing w:after="200" w:line="276" w:lineRule="auto"/>
        <w:rPr>
          <w:rFonts w:ascii="Calibri" w:eastAsia="Times New Roman" w:hAnsi="Calibri" w:cs="Times New Roman"/>
          <w:lang w:eastAsia="ru-RU"/>
        </w:rPr>
      </w:pPr>
    </w:p>
    <w:p w14:paraId="1B9DCD61" w14:textId="77777777" w:rsidR="00DC20A4" w:rsidRDefault="00DC20A4"/>
    <w:sectPr w:rsidR="00DC20A4" w:rsidSect="00BE160F">
      <w:pgSz w:w="11906" w:h="16838"/>
      <w:pgMar w:top="142"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0A4"/>
    <w:rsid w:val="000E4860"/>
    <w:rsid w:val="00DC2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7355C"/>
  <w15:chartTrackingRefBased/>
  <w15:docId w15:val="{6DB24C64-0E41-4139-9D9C-815D75CD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7838</Words>
  <Characters>44677</Characters>
  <Application>Microsoft Office Word</Application>
  <DocSecurity>0</DocSecurity>
  <Lines>372</Lines>
  <Paragraphs>104</Paragraphs>
  <ScaleCrop>false</ScaleCrop>
  <Company/>
  <LinksUpToDate>false</LinksUpToDate>
  <CharactersWithSpaces>52411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 adadurov</dc:creator>
  <cp:keywords/>
  <dc:description/>
  <cp:lastModifiedBy>yuri adadurov</cp:lastModifiedBy>
  <cp:revision>2</cp:revision>
  <dcterms:created xsi:type="dcterms:W3CDTF">2021-09-16T06:39:00Z</dcterms:created>
  <dcterms:modified xsi:type="dcterms:W3CDTF">2021-09-16T06:40:00Z</dcterms:modified>
</cp:coreProperties>
</file>